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9BF17">
      <w:pPr>
        <w:spacing w:line="560" w:lineRule="exact"/>
        <w:jc w:val="center"/>
        <w:rPr>
          <w:rFonts w:hint="eastAsia" w:ascii="方正仿宋简体" w:hAnsi="黑体" w:eastAsia="方正仿宋简体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刘健华</w:t>
      </w:r>
      <w:r>
        <w:rPr>
          <w:rFonts w:hint="eastAsia" w:ascii="方正小标宋简体" w:eastAsia="方正小标宋简体"/>
          <w:sz w:val="44"/>
          <w:szCs w:val="44"/>
        </w:rPr>
        <w:t>简要事迹</w:t>
      </w:r>
    </w:p>
    <w:p w14:paraId="0DAD75CA">
      <w:pPr>
        <w:spacing w:line="56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</w:rPr>
        <w:t>刘健华</w:t>
      </w:r>
      <w:r>
        <w:rPr>
          <w:rFonts w:hint="eastAsia" w:ascii="仿宋" w:hAnsi="仿宋" w:eastAsia="仿宋" w:cs="仿宋_GB2312"/>
          <w:sz w:val="32"/>
          <w:szCs w:val="32"/>
        </w:rPr>
        <w:t>，女，1973年10月生，</w:t>
      </w:r>
      <w:r>
        <w:rPr>
          <w:rFonts w:ascii="仿宋" w:hAnsi="仿宋" w:eastAsia="仿宋" w:cs="仿宋_GB2312"/>
          <w:sz w:val="32"/>
          <w:szCs w:val="32"/>
        </w:rPr>
        <w:t>民盟</w:t>
      </w:r>
      <w:r>
        <w:rPr>
          <w:rFonts w:hint="eastAsia" w:ascii="仿宋" w:hAnsi="仿宋" w:eastAsia="仿宋" w:cs="仿宋_GB2312"/>
          <w:sz w:val="32"/>
          <w:szCs w:val="32"/>
        </w:rPr>
        <w:t>盟员，华南农业大学兽医学院</w:t>
      </w:r>
      <w:r>
        <w:rPr>
          <w:rFonts w:hint="eastAsia" w:ascii="仿宋" w:hAnsi="仿宋" w:eastAsia="仿宋" w:cs="仿宋_GB2312"/>
          <w:sz w:val="32"/>
          <w:szCs w:val="32"/>
          <w:lang w:eastAsia="zh-CN"/>
        </w:rPr>
        <w:t>二级</w:t>
      </w:r>
      <w:r>
        <w:rPr>
          <w:rFonts w:hint="eastAsia" w:ascii="仿宋" w:hAnsi="仿宋" w:eastAsia="仿宋" w:cs="仿宋_GB2312"/>
          <w:sz w:val="32"/>
          <w:szCs w:val="32"/>
        </w:rPr>
        <w:t>教授，</w:t>
      </w:r>
      <w:r>
        <w:rPr>
          <w:rFonts w:ascii="仿宋" w:hAnsi="仿宋" w:eastAsia="仿宋" w:cs="仿宋_GB2312"/>
          <w:sz w:val="32"/>
          <w:szCs w:val="32"/>
        </w:rPr>
        <w:t>博士生导师，国家杰出青年基金获得者，科技部中青年科技创新领军人才。</w:t>
      </w:r>
      <w:bookmarkStart w:id="0" w:name="_GoBack"/>
      <w:bookmarkEnd w:id="0"/>
    </w:p>
    <w:p w14:paraId="45CBF5B0">
      <w:pPr>
        <w:spacing w:line="56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t>铸魂育人，做学生成长的“引路人”</w:t>
      </w:r>
      <w:r>
        <w:rPr>
          <w:rFonts w:hint="eastAsia" w:ascii="仿宋" w:hAnsi="仿宋" w:eastAsia="仿宋"/>
          <w:b/>
          <w:bCs/>
          <w:sz w:val="32"/>
          <w:szCs w:val="32"/>
        </w:rPr>
        <w:t>。</w:t>
      </w:r>
      <w:r>
        <w:rPr>
          <w:rFonts w:hint="eastAsia"/>
        </w:rPr>
        <w:t xml:space="preserve"> </w:t>
      </w:r>
      <w:r>
        <w:rPr>
          <w:rFonts w:ascii="仿宋" w:hAnsi="仿宋" w:eastAsia="仿宋"/>
          <w:sz w:val="32"/>
          <w:szCs w:val="32"/>
        </w:rPr>
        <w:t>作为学科带头人，她始终坚守教育初心，坚持以国家战略</w:t>
      </w:r>
      <w:r>
        <w:rPr>
          <w:rFonts w:hint="eastAsia" w:ascii="仿宋" w:hAnsi="仿宋" w:eastAsia="仿宋"/>
          <w:sz w:val="32"/>
          <w:szCs w:val="32"/>
        </w:rPr>
        <w:t>和行业</w:t>
      </w:r>
      <w:r>
        <w:rPr>
          <w:rFonts w:ascii="仿宋" w:hAnsi="仿宋" w:eastAsia="仿宋"/>
          <w:sz w:val="32"/>
          <w:szCs w:val="32"/>
        </w:rPr>
        <w:t>需求为导向，将专业知识与家国情怀有机融合，引导学生树立“科技自立自强”的雄心壮志</w:t>
      </w:r>
      <w:r>
        <w:rPr>
          <w:rFonts w:hint="eastAsia" w:ascii="仿宋" w:hAnsi="仿宋" w:eastAsia="仿宋"/>
          <w:sz w:val="32"/>
          <w:szCs w:val="32"/>
        </w:rPr>
        <w:t>和</w:t>
      </w:r>
      <w:r>
        <w:rPr>
          <w:rFonts w:ascii="仿宋" w:hAnsi="仿宋" w:eastAsia="仿宋"/>
          <w:sz w:val="32"/>
          <w:szCs w:val="32"/>
        </w:rPr>
        <w:t>精益求精的工匠精神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t>培养的学生获全国百篇优秀博士论文提名奖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广东省优秀博士</w:t>
      </w:r>
      <w:r>
        <w:rPr>
          <w:rFonts w:hint="eastAsia" w:ascii="仿宋" w:hAnsi="仿宋" w:eastAsia="仿宋"/>
          <w:sz w:val="32"/>
          <w:szCs w:val="32"/>
        </w:rPr>
        <w:t>和优秀硕士</w:t>
      </w:r>
      <w:r>
        <w:rPr>
          <w:rFonts w:ascii="仿宋" w:hAnsi="仿宋" w:eastAsia="仿宋"/>
          <w:sz w:val="32"/>
          <w:szCs w:val="32"/>
        </w:rPr>
        <w:t>论文奖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“南粤优秀研究生”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“广东省优秀研究生”</w:t>
      </w:r>
      <w:r>
        <w:rPr>
          <w:rFonts w:hint="eastAsia" w:ascii="仿宋" w:hAnsi="仿宋" w:eastAsia="仿宋"/>
          <w:sz w:val="32"/>
          <w:szCs w:val="32"/>
        </w:rPr>
        <w:t>等</w:t>
      </w:r>
      <w:r>
        <w:rPr>
          <w:rFonts w:ascii="仿宋" w:hAnsi="仿宋" w:eastAsia="仿宋"/>
          <w:sz w:val="32"/>
          <w:szCs w:val="32"/>
        </w:rPr>
        <w:t>，多名学生投身</w:t>
      </w:r>
      <w:r>
        <w:rPr>
          <w:rFonts w:hint="eastAsia" w:ascii="仿宋" w:hAnsi="仿宋" w:eastAsia="仿宋"/>
          <w:sz w:val="32"/>
          <w:szCs w:val="32"/>
        </w:rPr>
        <w:t>西部</w:t>
      </w:r>
      <w:r>
        <w:rPr>
          <w:rFonts w:ascii="仿宋" w:hAnsi="仿宋" w:eastAsia="仿宋"/>
          <w:sz w:val="32"/>
          <w:szCs w:val="32"/>
        </w:rPr>
        <w:t>地区建设。</w:t>
      </w:r>
    </w:p>
    <w:p w14:paraId="1406D5DD">
      <w:pPr>
        <w:spacing w:line="560" w:lineRule="exact"/>
        <w:ind w:firstLine="643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 w:cs="仿宋_GB2312"/>
          <w:b/>
          <w:bCs/>
          <w:sz w:val="32"/>
          <w:szCs w:val="32"/>
        </w:rPr>
        <w:t>攻坚克难，做科技创新的“排头兵”</w:t>
      </w:r>
      <w:r>
        <w:rPr>
          <w:rFonts w:hint="eastAsia" w:ascii="仿宋" w:hAnsi="仿宋" w:eastAsia="仿宋" w:cs="仿宋_GB2312"/>
          <w:b/>
          <w:bCs/>
          <w:sz w:val="32"/>
          <w:szCs w:val="32"/>
        </w:rPr>
        <w:t>。</w:t>
      </w:r>
      <w:r>
        <w:rPr>
          <w:rFonts w:ascii="仿宋" w:hAnsi="仿宋" w:eastAsia="仿宋" w:cs="仿宋_GB2312"/>
          <w:sz w:val="32"/>
          <w:szCs w:val="32"/>
        </w:rPr>
        <w:t>她潜心细菌耐药性</w:t>
      </w:r>
      <w:r>
        <w:rPr>
          <w:rFonts w:hint="eastAsia" w:ascii="仿宋" w:hAnsi="仿宋" w:eastAsia="仿宋" w:cs="仿宋_GB2312"/>
          <w:sz w:val="32"/>
          <w:szCs w:val="32"/>
        </w:rPr>
        <w:t>研究</w:t>
      </w:r>
      <w:r>
        <w:rPr>
          <w:rFonts w:ascii="仿宋" w:hAnsi="仿宋" w:eastAsia="仿宋" w:cs="仿宋_GB2312"/>
          <w:sz w:val="32"/>
          <w:szCs w:val="32"/>
        </w:rPr>
        <w:t>领域，率领团队</w:t>
      </w:r>
      <w:r>
        <w:rPr>
          <w:rFonts w:ascii="仿宋" w:hAnsi="仿宋" w:eastAsia="仿宋"/>
          <w:sz w:val="32"/>
          <w:szCs w:val="32"/>
        </w:rPr>
        <w:t>斩获多项突破性成果</w:t>
      </w:r>
      <w:r>
        <w:rPr>
          <w:rFonts w:ascii="仿宋" w:hAnsi="仿宋" w:eastAsia="仿宋" w:cs="仿宋_GB2312"/>
          <w:sz w:val="32"/>
          <w:szCs w:val="32"/>
        </w:rPr>
        <w:t>。2013年，</w:t>
      </w:r>
      <w:r>
        <w:rPr>
          <w:rFonts w:hint="eastAsia" w:ascii="仿宋" w:hAnsi="仿宋" w:eastAsia="仿宋" w:cs="仿宋_GB2312"/>
          <w:sz w:val="32"/>
          <w:szCs w:val="32"/>
        </w:rPr>
        <w:t>面对国内严峻的黏菌素耐药问题</w:t>
      </w:r>
      <w:r>
        <w:rPr>
          <w:rFonts w:ascii="仿宋" w:hAnsi="仿宋" w:eastAsia="仿宋" w:cs="仿宋_GB2312"/>
          <w:sz w:val="32"/>
          <w:szCs w:val="32"/>
        </w:rPr>
        <w:t>，凭借敏锐、前瞻的科研洞察力，</w:t>
      </w:r>
      <w:r>
        <w:rPr>
          <w:rFonts w:hint="eastAsia" w:ascii="仿宋" w:hAnsi="仿宋" w:eastAsia="仿宋"/>
          <w:sz w:val="32"/>
          <w:szCs w:val="32"/>
        </w:rPr>
        <w:t>率先发现了</w:t>
      </w:r>
      <w:r>
        <w:rPr>
          <w:rFonts w:ascii="仿宋" w:hAnsi="仿宋" w:eastAsia="仿宋"/>
          <w:sz w:val="32"/>
          <w:szCs w:val="32"/>
        </w:rPr>
        <w:t>黏菌素耐药新机制MCR-1，引发国际强烈反响，</w:t>
      </w:r>
      <w:r>
        <w:rPr>
          <w:rFonts w:hint="eastAsia" w:ascii="仿宋" w:hAnsi="仿宋" w:eastAsia="仿宋"/>
          <w:sz w:val="32"/>
          <w:szCs w:val="32"/>
        </w:rPr>
        <w:t>连续多年</w:t>
      </w:r>
      <w:r>
        <w:rPr>
          <w:rFonts w:ascii="仿宋" w:hAnsi="仿宋" w:eastAsia="仿宋"/>
          <w:sz w:val="32"/>
          <w:szCs w:val="32"/>
        </w:rPr>
        <w:t>引领</w:t>
      </w:r>
      <w:r>
        <w:rPr>
          <w:rFonts w:hint="eastAsia" w:ascii="仿宋" w:hAnsi="仿宋" w:eastAsia="仿宋"/>
          <w:sz w:val="32"/>
          <w:szCs w:val="32"/>
        </w:rPr>
        <w:t>全球</w:t>
      </w:r>
      <w:r>
        <w:rPr>
          <w:rFonts w:ascii="仿宋" w:hAnsi="仿宋" w:eastAsia="仿宋"/>
          <w:sz w:val="32"/>
          <w:szCs w:val="32"/>
        </w:rPr>
        <w:t>该领域研究热潮，推动我国细菌耐药性研究从“跟跑”到“领跑”的跨越。该发现直接推动 WHO、欧洲</w:t>
      </w:r>
      <w:r>
        <w:rPr>
          <w:rFonts w:hint="eastAsia" w:ascii="仿宋" w:hAnsi="仿宋" w:eastAsia="仿宋"/>
          <w:sz w:val="32"/>
          <w:szCs w:val="32"/>
        </w:rPr>
        <w:t>以及中国、日本等十几个国家</w:t>
      </w:r>
      <w:r>
        <w:rPr>
          <w:rFonts w:ascii="仿宋" w:hAnsi="仿宋" w:eastAsia="仿宋"/>
          <w:sz w:val="32"/>
          <w:szCs w:val="32"/>
        </w:rPr>
        <w:t>调整</w:t>
      </w:r>
      <w:r>
        <w:rPr>
          <w:rFonts w:hint="eastAsia" w:ascii="仿宋" w:hAnsi="仿宋" w:eastAsia="仿宋"/>
          <w:sz w:val="32"/>
          <w:szCs w:val="32"/>
        </w:rPr>
        <w:t>黏菌素</w:t>
      </w:r>
      <w:r>
        <w:rPr>
          <w:rFonts w:ascii="仿宋" w:hAnsi="仿宋" w:eastAsia="仿宋"/>
          <w:sz w:val="32"/>
          <w:szCs w:val="32"/>
        </w:rPr>
        <w:t>管理政策，</w:t>
      </w:r>
      <w:r>
        <w:rPr>
          <w:rFonts w:hint="eastAsia" w:ascii="仿宋" w:hAnsi="仿宋" w:eastAsia="仿宋"/>
          <w:sz w:val="32"/>
          <w:szCs w:val="32"/>
        </w:rPr>
        <w:t>显著降低了我国黏菌素耐药水平，</w:t>
      </w:r>
      <w:r>
        <w:rPr>
          <w:rFonts w:ascii="仿宋" w:hAnsi="仿宋" w:eastAsia="仿宋"/>
          <w:sz w:val="32"/>
          <w:szCs w:val="32"/>
        </w:rPr>
        <w:t>为保障“有药可医”做出</w:t>
      </w:r>
      <w:r>
        <w:rPr>
          <w:rFonts w:hint="eastAsia" w:ascii="仿宋" w:hAnsi="仿宋" w:eastAsia="仿宋"/>
          <w:sz w:val="32"/>
          <w:szCs w:val="32"/>
        </w:rPr>
        <w:t>了突出</w:t>
      </w:r>
      <w:r>
        <w:rPr>
          <w:rFonts w:ascii="仿宋" w:hAnsi="仿宋" w:eastAsia="仿宋"/>
          <w:sz w:val="32"/>
          <w:szCs w:val="32"/>
        </w:rPr>
        <w:t>贡献。</w:t>
      </w:r>
    </w:p>
    <w:p w14:paraId="153B796E"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在</w:t>
      </w:r>
      <w:r>
        <w:rPr>
          <w:rFonts w:ascii="仿宋" w:hAnsi="仿宋" w:eastAsia="仿宋"/>
          <w:sz w:val="32"/>
          <w:szCs w:val="32"/>
        </w:rPr>
        <w:t>Lancet Infect Dis</w:t>
      </w:r>
      <w:r>
        <w:rPr>
          <w:rFonts w:hint="eastAsia" w:ascii="仿宋" w:hAnsi="仿宋" w:eastAsia="仿宋"/>
          <w:sz w:val="32"/>
          <w:szCs w:val="32"/>
        </w:rPr>
        <w:t>等期刊发表</w:t>
      </w:r>
      <w:r>
        <w:rPr>
          <w:rFonts w:ascii="仿宋" w:hAnsi="仿宋" w:eastAsia="仿宋"/>
          <w:sz w:val="32"/>
          <w:szCs w:val="32"/>
        </w:rPr>
        <w:t>SCI论文</w:t>
      </w:r>
      <w:r>
        <w:rPr>
          <w:rFonts w:hint="eastAsia" w:ascii="仿宋" w:hAnsi="仿宋" w:eastAsia="仿宋" w:cs="仿宋_GB2312"/>
          <w:sz w:val="32"/>
          <w:szCs w:val="32"/>
        </w:rPr>
        <w:t>100</w:t>
      </w:r>
      <w:r>
        <w:rPr>
          <w:rFonts w:ascii="仿宋" w:hAnsi="仿宋" w:eastAsia="仿宋"/>
          <w:sz w:val="32"/>
          <w:szCs w:val="32"/>
        </w:rPr>
        <w:t>余篇，</w:t>
      </w:r>
      <w:r>
        <w:rPr>
          <w:rFonts w:hint="eastAsia" w:ascii="仿宋" w:hAnsi="仿宋" w:eastAsia="仿宋"/>
          <w:sz w:val="32"/>
          <w:szCs w:val="32"/>
        </w:rPr>
        <w:t>累计</w:t>
      </w:r>
      <w:r>
        <w:rPr>
          <w:rFonts w:ascii="仿宋" w:hAnsi="仿宋" w:eastAsia="仿宋"/>
          <w:sz w:val="32"/>
          <w:szCs w:val="32"/>
        </w:rPr>
        <w:t>被引</w:t>
      </w:r>
      <w:r>
        <w:rPr>
          <w:rFonts w:hint="eastAsia" w:ascii="仿宋" w:hAnsi="仿宋" w:eastAsia="仿宋"/>
          <w:sz w:val="32"/>
          <w:szCs w:val="32"/>
        </w:rPr>
        <w:t>超10</w:t>
      </w:r>
      <w:r>
        <w:rPr>
          <w:rFonts w:ascii="仿宋" w:hAnsi="仿宋" w:eastAsia="仿宋"/>
          <w:sz w:val="32"/>
          <w:szCs w:val="32"/>
        </w:rPr>
        <w:t>000</w:t>
      </w:r>
      <w:r>
        <w:rPr>
          <w:rFonts w:hint="eastAsia" w:ascii="仿宋" w:hAnsi="仿宋" w:eastAsia="仿宋"/>
          <w:sz w:val="32"/>
          <w:szCs w:val="32"/>
        </w:rPr>
        <w:t>次，</w:t>
      </w:r>
      <w:r>
        <w:rPr>
          <w:rFonts w:ascii="仿宋" w:hAnsi="仿宋" w:eastAsia="仿宋"/>
          <w:sz w:val="32"/>
          <w:szCs w:val="32"/>
        </w:rPr>
        <w:t>其中</w:t>
      </w:r>
      <w:r>
        <w:rPr>
          <w:rFonts w:hint="eastAsia" w:ascii="仿宋" w:hAnsi="仿宋" w:eastAsia="仿宋"/>
          <w:sz w:val="32"/>
          <w:szCs w:val="32"/>
        </w:rPr>
        <w:t>一篇</w:t>
      </w:r>
      <w:r>
        <w:rPr>
          <w:rFonts w:ascii="仿宋" w:hAnsi="仿宋" w:eastAsia="仿宋"/>
          <w:sz w:val="32"/>
          <w:szCs w:val="32"/>
        </w:rPr>
        <w:t>至今保持全球兽医领域最高引用量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t>先后荣获国家自然科学二等奖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北京市自然科学一等奖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教育部科技进步一等奖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sz w:val="32"/>
          <w:szCs w:val="32"/>
        </w:rPr>
        <w:t>广东省自然科学二等奖</w:t>
      </w:r>
      <w:r>
        <w:rPr>
          <w:rFonts w:hint="eastAsia" w:ascii="仿宋" w:hAnsi="仿宋" w:eastAsia="仿宋"/>
          <w:sz w:val="32"/>
          <w:szCs w:val="32"/>
        </w:rPr>
        <w:t>等</w:t>
      </w:r>
      <w:r>
        <w:rPr>
          <w:rFonts w:ascii="仿宋" w:hAnsi="仿宋" w:eastAsia="仿宋"/>
          <w:sz w:val="32"/>
          <w:szCs w:val="32"/>
        </w:rPr>
        <w:t>。2019年至今</w:t>
      </w:r>
      <w:r>
        <w:rPr>
          <w:rFonts w:hint="eastAsia" w:ascii="仿宋" w:hAnsi="仿宋" w:eastAsia="仿宋"/>
          <w:sz w:val="32"/>
          <w:szCs w:val="32"/>
        </w:rPr>
        <w:t>7</w:t>
      </w:r>
      <w:r>
        <w:rPr>
          <w:rFonts w:ascii="仿宋" w:hAnsi="仿宋" w:eastAsia="仿宋"/>
          <w:sz w:val="32"/>
          <w:szCs w:val="32"/>
        </w:rPr>
        <w:t>次蝉联中国高被引学者榜单，享有较高的国际学术影响力。</w:t>
      </w:r>
    </w:p>
    <w:p w14:paraId="529D11D6">
      <w:pPr>
        <w:rPr>
          <w:sz w:val="32"/>
          <w:szCs w:val="32"/>
        </w:rPr>
      </w:pPr>
    </w:p>
    <w:sectPr>
      <w:pgSz w:w="11906" w:h="16838"/>
      <w:pgMar w:top="1440" w:right="1633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26AEF51-8BBA-4425-8360-D6D77D503A9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323670E-FC6B-4C6C-A149-05BF77C8959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A44D8B-AEE6-44AA-A773-D9013D3EDD0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2A86143-70D6-4B3B-B282-C0C0B8B3BE4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AE30FE1-218B-4625-9B69-862B2BC7593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13E4E88F-9CFD-4A38-AE9B-04F0F286B3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3BB5867-5B90-47C2-BBE2-37990ED14D6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F5B32CC9-D9C8-4AFB-A3E6-FA81811E00D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2E9CD60-1EC4-49CC-B4DF-E4029D30C757}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E5021D5E-0890-4639-8095-25B855C30A6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1" w:fontKey="{DDFEF2A4-B9F7-4653-8D93-9483E453CA1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2" w:fontKey="{56CA8DEB-1CCC-4FD3-9FF3-3A063FE29D2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3" w:fontKey="{45458EF8-8736-450F-A082-BD143878A8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6E3D44BE"/>
    <w:rsid w:val="000723D9"/>
    <w:rsid w:val="001C3753"/>
    <w:rsid w:val="002300DB"/>
    <w:rsid w:val="0034087C"/>
    <w:rsid w:val="00406888"/>
    <w:rsid w:val="0049229D"/>
    <w:rsid w:val="00560F7A"/>
    <w:rsid w:val="005909F7"/>
    <w:rsid w:val="00617B82"/>
    <w:rsid w:val="006A5990"/>
    <w:rsid w:val="007B1C17"/>
    <w:rsid w:val="007C11CB"/>
    <w:rsid w:val="007D5C36"/>
    <w:rsid w:val="00813493"/>
    <w:rsid w:val="00983B1B"/>
    <w:rsid w:val="009F0A88"/>
    <w:rsid w:val="00B36B81"/>
    <w:rsid w:val="00B9422C"/>
    <w:rsid w:val="00C353A4"/>
    <w:rsid w:val="00DD4AF1"/>
    <w:rsid w:val="00F60350"/>
    <w:rsid w:val="00FB6138"/>
    <w:rsid w:val="121068C5"/>
    <w:rsid w:val="16BC5EF7"/>
    <w:rsid w:val="42523A49"/>
    <w:rsid w:val="56944C2A"/>
    <w:rsid w:val="60813FAA"/>
    <w:rsid w:val="62DF7F82"/>
    <w:rsid w:val="6E3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</w:pPr>
    <w:rPr>
      <w:rFonts w:ascii="Arial" w:hAnsi="Arial" w:eastAsia="仿宋_GB2312" w:cs="Arial"/>
      <w:sz w:val="24"/>
      <w:szCs w:val="22"/>
    </w:rPr>
  </w:style>
  <w:style w:type="paragraph" w:styleId="4">
    <w:name w:val="annotation text"/>
    <w:basedOn w:val="1"/>
    <w:link w:val="14"/>
    <w:qFormat/>
    <w:uiPriority w:val="0"/>
    <w:pPr>
      <w:jc w:val="left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4"/>
    <w:next w:val="4"/>
    <w:link w:val="15"/>
    <w:qFormat/>
    <w:uiPriority w:val="0"/>
    <w:rPr>
      <w:b/>
      <w:bCs/>
    </w:rPr>
  </w:style>
  <w:style w:type="character" w:styleId="10">
    <w:name w:val="annotation reference"/>
    <w:basedOn w:val="9"/>
    <w:qFormat/>
    <w:uiPriority w:val="0"/>
    <w:rPr>
      <w:sz w:val="21"/>
      <w:szCs w:val="21"/>
    </w:rPr>
  </w:style>
  <w:style w:type="character" w:customStyle="1" w:styleId="11">
    <w:name w:val="标题 1 字符"/>
    <w:link w:val="3"/>
    <w:qFormat/>
    <w:uiPriority w:val="0"/>
    <w:rPr>
      <w:b/>
      <w:bCs/>
      <w:kern w:val="44"/>
      <w:sz w:val="44"/>
      <w:szCs w:val="44"/>
    </w:rPr>
  </w:style>
  <w:style w:type="character" w:customStyle="1" w:styleId="12">
    <w:name w:val="页眉 字符"/>
    <w:basedOn w:val="9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4">
    <w:name w:val="批注文字 字符"/>
    <w:basedOn w:val="9"/>
    <w:link w:val="4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5">
    <w:name w:val="批注主题 字符"/>
    <w:basedOn w:val="14"/>
    <w:link w:val="7"/>
    <w:uiPriority w:val="0"/>
    <w:rPr>
      <w:rFonts w:ascii="Calibri" w:hAnsi="Calibri" w:eastAsia="宋体" w:cs="Times New Roman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567</Words>
  <Characters>603</Characters>
  <Lines>2</Lines>
  <Paragraphs>15</Paragraphs>
  <TotalTime>65</TotalTime>
  <ScaleCrop>false</ScaleCrop>
  <LinksUpToDate>false</LinksUpToDate>
  <CharactersWithSpaces>607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2026-02-03T07:15:00Z</dcterms:created>
  <dc:creator>尚晶晶</dc:creator>
  <cp:lastModifiedBy>Admin</cp:lastModifiedBy>
  <cp:lastPrinted>2021-02-18T02:56:00Z</cp:lastPrinted>
  <dcterms:modified xsi:type="dcterms:W3CDTF">2026-02-04T08:36:48Z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A91AC3F751854DECA553BA06B77FBF5B_12</vt:lpwstr>
  </property>
  <property fmtid="{D5CDD505-2E9C-101B-9397-08002B2CF9AE}" pid="4" name="KSOTemplateDocerSaveRecord">
    <vt:lpwstr>eyJoZGlkIjoiMjE5NmZlN2I0OWFjNmUxZTk4MTBlYzlkYWMzNmZmNmUiLCJ1c2VySWQiOiI0NDM0MzgzOTgifQ==</vt:lpwstr>
  </property>
</Properties>
</file>